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11624"/>
      </w:tblGrid>
      <w:tr w:rsidR="00A44545" w:rsidTr="00BE5093">
        <w:trPr>
          <w:tblHeader/>
        </w:trPr>
        <w:tc>
          <w:tcPr>
            <w:tcW w:w="13948" w:type="dxa"/>
            <w:gridSpan w:val="2"/>
            <w:shd w:val="clear" w:color="auto" w:fill="D9D9D9" w:themeFill="background1" w:themeFillShade="D9"/>
          </w:tcPr>
          <w:p w:rsidR="00A44545" w:rsidRDefault="00A44545"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LISTENING AND TALKING</w:t>
            </w:r>
          </w:p>
        </w:tc>
      </w:tr>
      <w:tr w:rsidR="00A44545" w:rsidTr="00A44545">
        <w:tc>
          <w:tcPr>
            <w:tcW w:w="2324" w:type="dxa"/>
          </w:tcPr>
          <w:p w:rsidR="00A44545" w:rsidRPr="00AC2795" w:rsidRDefault="00A44545" w:rsidP="00A44545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 xml:space="preserve">Enjoyment and </w:t>
            </w:r>
            <w:r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c</w:t>
            </w: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hoice</w:t>
            </w:r>
          </w:p>
        </w:tc>
        <w:tc>
          <w:tcPr>
            <w:tcW w:w="11624" w:type="dxa"/>
          </w:tcPr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enjoy exploring and choosing stories and other texts to watch, read or listen to, and can share my likes and dislikes.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0-01b / LIT 0-11b)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enjoy exploring events and characters in stories and other texts, sharing my thoughts in different ways.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0-01c)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regularly select and listen to or watch texts which I enjoy and find interesting, and I can explain why I prefer certain sources.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1-01a / LIT 2-01a)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regularly select and listen to or watch texts for enjoyment and interest, and I can express how well they meet my needs and expectations, and I can give reasons, with evidence, for my personal response.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3-01a / LIT 4-01a) </w:t>
            </w:r>
          </w:p>
        </w:tc>
      </w:tr>
      <w:tr w:rsidR="00A44545" w:rsidTr="00A44545">
        <w:tc>
          <w:tcPr>
            <w:tcW w:w="2324" w:type="dxa"/>
          </w:tcPr>
          <w:p w:rsidR="00A44545" w:rsidRPr="00AC2795" w:rsidRDefault="00A44545" w:rsidP="00A44545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Tools for listening and talking</w:t>
            </w:r>
          </w:p>
        </w:tc>
        <w:tc>
          <w:tcPr>
            <w:tcW w:w="11624" w:type="dxa"/>
          </w:tcPr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As I listen and talk in different situations, I am learning to take turns and am developing my awareness of when to talk and when to listen.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0-02a </w:t>
            </w:r>
            <w:r w:rsidRPr="00AC2795">
              <w:rPr>
                <w:rFonts w:ascii="Verdana" w:hAnsi="Verdana" w:cs="Arial"/>
                <w:b/>
                <w:bCs/>
                <w:color w:val="C40013"/>
              </w:rPr>
              <w:t xml:space="preserve">/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ENG 0-03a)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When I engage with others, I know when and how to listen, when to talk, how much to say, when to ask questions and how to respond with respect.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1-02a)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When I engage with others, I can respond in ways appropriate to my role, show that I value others’ contributions and use these to build on thinking.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2-02a)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can respond in ways appropriate to my role and use contributions to reflect on, clarify or adapt thinking.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3-02a) </w:t>
            </w:r>
          </w:p>
        </w:tc>
      </w:tr>
      <w:tr w:rsidR="00A44545" w:rsidTr="00A44545">
        <w:tc>
          <w:tcPr>
            <w:tcW w:w="2324" w:type="dxa"/>
          </w:tcPr>
          <w:p w:rsidR="00A44545" w:rsidRPr="00AC2795" w:rsidRDefault="00A44545" w:rsidP="00A44545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Finding and using information</w:t>
            </w:r>
          </w:p>
        </w:tc>
        <w:tc>
          <w:tcPr>
            <w:tcW w:w="11624" w:type="dxa"/>
          </w:tcPr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listen or watch for useful or interesting information and I use this to make choices or learn new things.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0-04a)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As I listen or watch, I can identify and discuss the purpose, key words and main ideas of the text, and use this information for a specific purpose.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1-04a)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can select ideas and relevant information, organise these in a logical sequence and use words which will be interesting and/or useful for others.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1-06a)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2-04a)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As I listen or watch, I can: 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lastRenderedPageBreak/>
              <w:t xml:space="preserve">identify and give an accurate account of the purpose and main concerns of the text, and can make inferences from key statements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identify and discuss similarities and differences between different types of text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color w:val="000000"/>
              </w:rPr>
            </w:pPr>
            <w:proofErr w:type="gramStart"/>
            <w:r w:rsidRPr="00AC2795">
              <w:rPr>
                <w:rFonts w:ascii="Verdana" w:hAnsi="Verdana" w:cs="Arial"/>
                <w:iCs/>
                <w:color w:val="000000"/>
              </w:rPr>
              <w:t>use</w:t>
            </w:r>
            <w:proofErr w:type="gramEnd"/>
            <w:r w:rsidRPr="00AC2795">
              <w:rPr>
                <w:rFonts w:ascii="Verdana" w:hAnsi="Verdana" w:cs="Arial"/>
                <w:iCs/>
                <w:color w:val="000000"/>
              </w:rPr>
              <w:t xml:space="preserve"> this information for different purposes.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3-04a)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1440"/>
              <w:contextualSpacing/>
              <w:rPr>
                <w:rFonts w:ascii="Verdana" w:hAnsi="Verdana" w:cs="Arial"/>
                <w:color w:val="000000"/>
              </w:rPr>
            </w:pPr>
          </w:p>
        </w:tc>
      </w:tr>
      <w:tr w:rsidR="00A44545" w:rsidTr="00A44545">
        <w:tc>
          <w:tcPr>
            <w:tcW w:w="2324" w:type="dxa"/>
          </w:tcPr>
          <w:p w:rsidR="00A44545" w:rsidRPr="00AC2795" w:rsidRDefault="00A44545" w:rsidP="00A44545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lastRenderedPageBreak/>
              <w:t>Understanding, analysing and evaluating</w:t>
            </w:r>
          </w:p>
        </w:tc>
        <w:tc>
          <w:tcPr>
            <w:tcW w:w="11624" w:type="dxa"/>
          </w:tcPr>
          <w:p w:rsidR="00A44545" w:rsidRPr="00BE5093" w:rsidRDefault="00A44545" w:rsidP="00BE509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To help me understand stories and other texts, I ask questions and link what I am learning with what I already know.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0-07a / LIT 0-16a /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ENG 0-17a) </w:t>
            </w:r>
          </w:p>
        </w:tc>
      </w:tr>
      <w:tr w:rsidR="00A44545" w:rsidTr="00A44545">
        <w:tc>
          <w:tcPr>
            <w:tcW w:w="2324" w:type="dxa"/>
          </w:tcPr>
          <w:p w:rsidR="00A44545" w:rsidRPr="00AC2795" w:rsidRDefault="00A44545" w:rsidP="00A44545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Creating texts</w:t>
            </w:r>
          </w:p>
        </w:tc>
        <w:tc>
          <w:tcPr>
            <w:tcW w:w="11624" w:type="dxa"/>
          </w:tcPr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As I listen and take part in conversations and discussions, I discover new words and phrases which I use to help me express my ideas, thoughts and feelings.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0-10a)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When listening and talking with others for different purposes, I can exchange information, experiences, explanations, ideas and opinions, and clarify points by asking questions or by asking others to say more.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>(LIT 1-09a)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can communicate clearly when engaging with others within and beyond my place of learning, using selected resources as required.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>(LIT 1-10a)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When listening and talking with others for different purposes, I can: 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357"/>
              <w:contextualSpacing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share information, experiences and opinions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357"/>
              <w:contextualSpacing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explain processes and ideas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357"/>
              <w:contextualSpacing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identify issues raised and summarise main points or findings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357"/>
              <w:contextualSpacing/>
              <w:rPr>
                <w:rFonts w:ascii="Verdana" w:hAnsi="Verdana" w:cs="Arial"/>
                <w:color w:val="000000"/>
              </w:rPr>
            </w:pPr>
            <w:proofErr w:type="gramStart"/>
            <w:r w:rsidRPr="00AC2795">
              <w:rPr>
                <w:rFonts w:ascii="Verdana" w:hAnsi="Verdana" w:cs="Arial"/>
                <w:iCs/>
                <w:color w:val="000000"/>
              </w:rPr>
              <w:t>clarify</w:t>
            </w:r>
            <w:proofErr w:type="gramEnd"/>
            <w:r w:rsidRPr="00AC2795">
              <w:rPr>
                <w:rFonts w:ascii="Verdana" w:hAnsi="Verdana" w:cs="Arial"/>
                <w:iCs/>
                <w:color w:val="000000"/>
              </w:rPr>
              <w:t xml:space="preserve"> points by asking questions or by asking others to say more.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2-09a)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When listening and talking with others for different purposes, I can: 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hanging="357"/>
              <w:contextualSpacing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communicate information, ideas or opinions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hanging="357"/>
              <w:contextualSpacing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explain processes, concepts or ideas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hanging="357"/>
              <w:contextualSpacing/>
              <w:rPr>
                <w:rFonts w:ascii="Verdana" w:hAnsi="Verdana" w:cs="Arial"/>
                <w:color w:val="000000"/>
              </w:rPr>
            </w:pPr>
            <w:proofErr w:type="gramStart"/>
            <w:r w:rsidRPr="00AC2795">
              <w:rPr>
                <w:rFonts w:ascii="Verdana" w:hAnsi="Verdana" w:cs="Arial"/>
                <w:iCs/>
                <w:color w:val="000000"/>
              </w:rPr>
              <w:t>identify</w:t>
            </w:r>
            <w:proofErr w:type="gramEnd"/>
            <w:r w:rsidRPr="00AC2795">
              <w:rPr>
                <w:rFonts w:ascii="Verdana" w:hAnsi="Verdana" w:cs="Arial"/>
                <w:iCs/>
                <w:color w:val="000000"/>
              </w:rPr>
              <w:t xml:space="preserve"> issues raised, summarise findings or draw conclusions.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3-09a) </w:t>
            </w:r>
            <w:r w:rsidRPr="00AC2795">
              <w:rPr>
                <w:rFonts w:ascii="MS Gothic" w:eastAsia="MS Gothic" w:hAnsi="MS Gothic" w:cs="MS Gothic" w:hint="eastAsia"/>
                <w:color w:val="000000"/>
              </w:rPr>
              <w:t> </w:t>
            </w:r>
          </w:p>
          <w:p w:rsidR="00A44545" w:rsidRPr="00AC2795" w:rsidRDefault="00A44545" w:rsidP="00A44545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left="1440"/>
              <w:contextualSpacing/>
              <w:rPr>
                <w:rFonts w:ascii="Verdana" w:hAnsi="Verdana" w:cs="Arial"/>
                <w:color w:val="000000"/>
              </w:rPr>
            </w:pPr>
          </w:p>
        </w:tc>
      </w:tr>
    </w:tbl>
    <w:p w:rsidR="00A44545" w:rsidRDefault="00A44545"/>
    <w:p w:rsidR="00A44545" w:rsidRDefault="00A44545">
      <w:r>
        <w:br w:type="page"/>
      </w:r>
    </w:p>
    <w:tbl>
      <w:tblPr>
        <w:tblpPr w:leftFromText="180" w:rightFromText="180" w:vertAnchor="text" w:horzAnchor="margin" w:tblpY="358"/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13"/>
      </w:tblGrid>
      <w:tr w:rsidR="00A44545" w:rsidRPr="00AC2795" w:rsidTr="00BE5093">
        <w:trPr>
          <w:trHeight w:val="314"/>
          <w:tblHeader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44545" w:rsidRPr="00AC2795" w:rsidRDefault="00A44545" w:rsidP="00EA261C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lastRenderedPageBreak/>
              <w:t>READING</w:t>
            </w:r>
          </w:p>
        </w:tc>
      </w:tr>
      <w:tr w:rsidR="00A44545" w:rsidRPr="00AC2795" w:rsidTr="00EA261C">
        <w:trPr>
          <w:trHeight w:val="550"/>
        </w:trPr>
        <w:tc>
          <w:tcPr>
            <w:tcW w:w="2127" w:type="dxa"/>
            <w:shd w:val="clear" w:color="auto" w:fill="auto"/>
          </w:tcPr>
          <w:p w:rsidR="00A44545" w:rsidRPr="00AC2795" w:rsidRDefault="00A44545" w:rsidP="00F206C1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 xml:space="preserve">Enjoyment and </w:t>
            </w:r>
            <w:r w:rsidR="00F206C1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c</w:t>
            </w: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hoice</w:t>
            </w:r>
          </w:p>
        </w:tc>
        <w:tc>
          <w:tcPr>
            <w:tcW w:w="12713" w:type="dxa"/>
            <w:shd w:val="clear" w:color="auto" w:fill="auto"/>
          </w:tcPr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enjoy exploring and playing with the patterns and sounds of language and can use what I learn.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0-01a / LIT 0-11a / LIT 0-20a)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enjoy exploring and choosing stories and other texts to watch, read or listen to, and can share my likes and dislikes.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0-01b / LIT 0-11b)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regularly select and read, listen to or watch texts which I enjoy and find interesting, and I can explain why I prefer certain texts and authors.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1-11a / LIT 2-11a)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regularly select and read, listen to or watch texts for enjoyment and interest, and I can express how well they meet my needs and expectations and give reasons, with evidence, for my personal response.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3-11a) </w:t>
            </w:r>
          </w:p>
        </w:tc>
      </w:tr>
      <w:tr w:rsidR="00A44545" w:rsidRPr="00AC2795" w:rsidTr="00EA261C">
        <w:trPr>
          <w:trHeight w:val="550"/>
        </w:trPr>
        <w:tc>
          <w:tcPr>
            <w:tcW w:w="2127" w:type="dxa"/>
            <w:shd w:val="clear" w:color="auto" w:fill="auto"/>
          </w:tcPr>
          <w:p w:rsidR="00A44545" w:rsidRPr="00AC2795" w:rsidRDefault="00A44545" w:rsidP="00EA261C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Tools for listening and talking</w:t>
            </w:r>
          </w:p>
        </w:tc>
        <w:tc>
          <w:tcPr>
            <w:tcW w:w="12713" w:type="dxa"/>
            <w:shd w:val="clear" w:color="auto" w:fill="auto"/>
          </w:tcPr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explore sounds, letters and words, discovering how they work together, and I can use what I learn to help me as I read and write.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(ENG 0-12a /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LIT 0-13a / LIT 0-21a)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I can use my knowledge of sight vocabulary, phonics, context clues, punctuation and grammar to read with understanding and expression.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(ENG 1-12a)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am learning to select and use strategies and resources before I read, and as I read, to help make the meaning of texts clear.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1-13)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(ENG 2-12a / ENG 3-12a / ENG 4-12a)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can select and use a range of strategies and resources before I read, and as I read, to make meaning clear and give reasons for my selection.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>(LIT 2-13a)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can select and use the strategies and resources I find most useful before I read, and as I read, to monitor and check my understanding.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>(LIT 3-13a)</w:t>
            </w:r>
          </w:p>
        </w:tc>
      </w:tr>
      <w:tr w:rsidR="00A44545" w:rsidRPr="00AC2795" w:rsidTr="00EA261C">
        <w:trPr>
          <w:trHeight w:val="550"/>
        </w:trPr>
        <w:tc>
          <w:tcPr>
            <w:tcW w:w="2127" w:type="dxa"/>
            <w:shd w:val="clear" w:color="auto" w:fill="auto"/>
          </w:tcPr>
          <w:p w:rsidR="00A44545" w:rsidRPr="00AC2795" w:rsidRDefault="00A44545" w:rsidP="00EA261C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t>Finding and using information</w:t>
            </w:r>
          </w:p>
        </w:tc>
        <w:tc>
          <w:tcPr>
            <w:tcW w:w="12713" w:type="dxa"/>
            <w:shd w:val="clear" w:color="auto" w:fill="auto"/>
          </w:tcPr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use signs, books or other texts to find useful or interesting information and I use this to plan, make choices or learn new things.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>(LIT 0-14a)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Using what I know about the features of different types of texts, I can find, select, sort and use information for a specific purpose.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1-14a)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lastRenderedPageBreak/>
              <w:t xml:space="preserve">Using what I know about the features of different types of texts, I can find, select and sort information from a variety of sources and use this for different purposes.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2-14a)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Using what I know about the features of different types of texts, I can find, select, sort, summarise, link and use information from different sources.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3-14a / LIT 4-14a) </w:t>
            </w:r>
          </w:p>
        </w:tc>
      </w:tr>
      <w:tr w:rsidR="00A44545" w:rsidRPr="00AC2795" w:rsidTr="00EA261C">
        <w:trPr>
          <w:trHeight w:val="550"/>
        </w:trPr>
        <w:tc>
          <w:tcPr>
            <w:tcW w:w="2127" w:type="dxa"/>
            <w:shd w:val="clear" w:color="auto" w:fill="auto"/>
          </w:tcPr>
          <w:p w:rsidR="00A44545" w:rsidRPr="00AC2795" w:rsidRDefault="00A44545" w:rsidP="00EA261C">
            <w:pPr>
              <w:rPr>
                <w:rFonts w:ascii="Verdana" w:eastAsia="Times New Roman" w:hAnsi="Verdana" w:cs="Arial"/>
                <w:b/>
                <w:color w:val="000000"/>
                <w:lang w:eastAsia="en-GB"/>
              </w:rPr>
            </w:pPr>
            <w:r w:rsidRPr="00AC2795">
              <w:rPr>
                <w:rFonts w:ascii="Verdana" w:eastAsia="Times New Roman" w:hAnsi="Verdana" w:cs="Arial"/>
                <w:b/>
                <w:color w:val="000000"/>
                <w:lang w:eastAsia="en-GB"/>
              </w:rPr>
              <w:lastRenderedPageBreak/>
              <w:t>Understanding, analysing and evaluating</w:t>
            </w:r>
          </w:p>
        </w:tc>
        <w:tc>
          <w:tcPr>
            <w:tcW w:w="12713" w:type="dxa"/>
            <w:shd w:val="clear" w:color="auto" w:fill="auto"/>
          </w:tcPr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To help me understand stories and other texts, I ask questions and link what I am learning with what I already know.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0-07a / LIT 0-16a /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ENG 0-17a)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I enjoy exploring events and characters in stories and other texts, sharing my thoughts in different ways.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0-19a)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To show my understanding across different areas of learning, I can identify and consider the purpose and main ideas of a text.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1-16a)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To show my understanding, I can respond to different kinds of questions and other close reading tasks and I am learning to create some questions of my own.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(ENG 1-17a)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To help me develop an informed view, I can recognise the difference between fact and opinion.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1-18a)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I can share my thoughts about structure, characters and/or setting, recognise the writer’s message and relate it to my own experiences, and comment on the effective choice of words and other features.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(ENG 1-19a)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color w:val="000000"/>
              </w:rPr>
            </w:pPr>
            <w:r w:rsidRPr="00BE5093">
              <w:rPr>
                <w:rFonts w:ascii="Verdana" w:hAnsi="Verdana" w:cs="Arial"/>
                <w:iCs/>
                <w:color w:val="000000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>(LIT 2-07a)</w:t>
            </w:r>
            <w:r w:rsidRPr="00AC2795">
              <w:rPr>
                <w:rFonts w:ascii="Verdana" w:hAnsi="Verdana" w:cs="Arial"/>
                <w:b/>
                <w:bCs/>
                <w:i/>
                <w:iCs/>
                <w:color w:val="000000"/>
              </w:rPr>
              <w:t xml:space="preserve">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To show my understanding across different areas of learning, I can identify and consider the purpose and main ideas of a text and use supporting detail. 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2-16a)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(ENG </w:t>
            </w:r>
            <w:bookmarkStart w:id="0" w:name="_GoBack"/>
            <w:bookmarkEnd w:id="0"/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2-17a)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I can: </w:t>
            </w:r>
          </w:p>
          <w:p w:rsidR="00A44545" w:rsidRPr="00AC2795" w:rsidRDefault="00A44545" w:rsidP="00A44545">
            <w:pPr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discuss structure, characterisation and/or setting </w:t>
            </w:r>
            <w:r w:rsidRPr="00AC2795">
              <w:rPr>
                <w:rFonts w:ascii="MS Gothic" w:eastAsia="MS Gothic" w:hAnsi="MS Gothic" w:cs="MS Gothic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recognise the relevance of the writer’s theme and how this relates to my own and others’ experiences </w:t>
            </w:r>
            <w:r w:rsidRPr="00AC2795">
              <w:rPr>
                <w:rFonts w:ascii="MS Gothic" w:eastAsia="MS Gothic" w:hAnsi="MS Gothic" w:cs="MS Gothic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hanging="357"/>
              <w:rPr>
                <w:rFonts w:ascii="Verdana" w:hAnsi="Verdana" w:cs="Arial"/>
                <w:color w:val="000000"/>
              </w:rPr>
            </w:pPr>
            <w:proofErr w:type="gramStart"/>
            <w:r w:rsidRPr="00AC2795">
              <w:rPr>
                <w:rFonts w:ascii="Verdana" w:hAnsi="Verdana" w:cs="Arial"/>
                <w:color w:val="000000"/>
              </w:rPr>
              <w:t>discuss</w:t>
            </w:r>
            <w:proofErr w:type="gramEnd"/>
            <w:r w:rsidRPr="00AC2795">
              <w:rPr>
                <w:rFonts w:ascii="Verdana" w:hAnsi="Verdana" w:cs="Arial"/>
                <w:color w:val="000000"/>
              </w:rPr>
              <w:t xml:space="preserve"> the writer’s style and other features appropriate to genre.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(ENG 2-19a) </w:t>
            </w:r>
            <w:r w:rsidRPr="00AC2795">
              <w:rPr>
                <w:rFonts w:ascii="MS Gothic" w:eastAsia="MS Gothic" w:hAnsi="MS Gothic" w:cs="MS Gothic"/>
                <w:color w:val="000000"/>
              </w:rPr>
              <w:t> 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To show my understanding across different areas of learning, I can: </w:t>
            </w:r>
          </w:p>
          <w:p w:rsidR="00A44545" w:rsidRPr="00AC2795" w:rsidRDefault="00A44545" w:rsidP="00A44545">
            <w:pPr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lastRenderedPageBreak/>
              <w:t xml:space="preserve">identify and consider the purpose, main concerns or concepts and use supporting detail </w:t>
            </w:r>
            <w:r w:rsidRPr="00AC2795">
              <w:rPr>
                <w:rFonts w:ascii="MS Gothic" w:eastAsia="MS Gothic" w:hAnsi="MS Gothic" w:cs="MS Gothic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iCs/>
                <w:color w:val="000000"/>
              </w:rPr>
              <w:t xml:space="preserve">make inferences from key statements </w:t>
            </w:r>
            <w:r w:rsidRPr="00AC2795">
              <w:rPr>
                <w:rFonts w:ascii="MS Gothic" w:eastAsia="MS Gothic" w:hAnsi="MS Gothic" w:cs="MS Gothic"/>
                <w:color w:val="000000"/>
              </w:rPr>
              <w:t> </w:t>
            </w:r>
          </w:p>
          <w:p w:rsidR="00A44545" w:rsidRPr="00AC2795" w:rsidRDefault="00A44545" w:rsidP="00A44545">
            <w:pPr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00" w:lineRule="atLeast"/>
              <w:ind w:hanging="357"/>
              <w:rPr>
                <w:rFonts w:ascii="Verdana" w:hAnsi="Verdana" w:cs="Arial"/>
                <w:color w:val="000000"/>
              </w:rPr>
            </w:pPr>
            <w:proofErr w:type="gramStart"/>
            <w:r w:rsidRPr="00AC2795">
              <w:rPr>
                <w:rFonts w:ascii="Verdana" w:hAnsi="Verdana" w:cs="Arial"/>
                <w:iCs/>
                <w:color w:val="000000"/>
              </w:rPr>
              <w:t>identify</w:t>
            </w:r>
            <w:proofErr w:type="gramEnd"/>
            <w:r w:rsidRPr="00AC2795">
              <w:rPr>
                <w:rFonts w:ascii="Verdana" w:hAnsi="Verdana" w:cs="Arial"/>
                <w:iCs/>
                <w:color w:val="000000"/>
              </w:rPr>
              <w:t xml:space="preserve"> and discuss similarities and differences between different types of text. </w:t>
            </w:r>
            <w:r w:rsidRPr="00AC2795">
              <w:rPr>
                <w:rFonts w:ascii="MS Gothic" w:eastAsia="MS Gothic" w:hAnsi="MS Gothic" w:cs="MS Gothic"/>
                <w:color w:val="000000"/>
              </w:rPr>
              <w:t> </w:t>
            </w:r>
            <w:r w:rsidRPr="00AC2795">
              <w:rPr>
                <w:rFonts w:ascii="Verdana" w:hAnsi="Verdana" w:cs="Arial"/>
                <w:b/>
                <w:bCs/>
                <w:iCs/>
                <w:color w:val="C40013"/>
              </w:rPr>
              <w:t xml:space="preserve">(LIT 3-16a) </w:t>
            </w:r>
            <w:r w:rsidRPr="00AC2795">
              <w:rPr>
                <w:rFonts w:ascii="MS Gothic" w:eastAsia="MS Gothic" w:hAnsi="MS Gothic" w:cs="MS Gothic"/>
                <w:color w:val="000000"/>
              </w:rPr>
              <w:t> 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To show my understanding, I can comment, with evidence, on the content and form of short and extended texts, and respond to literal, inferential and evaluative questions and other types of close reading tasks.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 xml:space="preserve">(ENG 3-17a) </w:t>
            </w:r>
            <w:r w:rsidRPr="00AC2795">
              <w:rPr>
                <w:rFonts w:ascii="Verdana" w:hAnsi="Verdana" w:cs="Arial"/>
                <w:b/>
                <w:bCs/>
                <w:color w:val="E3002D"/>
                <w:position w:val="-27"/>
              </w:rPr>
              <w:t xml:space="preserve">  </w:t>
            </w:r>
          </w:p>
          <w:p w:rsidR="00A44545" w:rsidRPr="00AC2795" w:rsidRDefault="00A44545" w:rsidP="00A4454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357"/>
              <w:rPr>
                <w:rFonts w:ascii="Verdana" w:hAnsi="Verdana" w:cs="Arial"/>
                <w:color w:val="000000"/>
              </w:rPr>
            </w:pPr>
            <w:r w:rsidRPr="00AC2795">
              <w:rPr>
                <w:rFonts w:ascii="Verdana" w:hAnsi="Verdana" w:cs="Arial"/>
                <w:color w:val="000000"/>
              </w:rPr>
              <w:t xml:space="preserve">I can: </w:t>
            </w:r>
          </w:p>
          <w:p w:rsidR="00BE5093" w:rsidRDefault="00A44545" w:rsidP="0048579C">
            <w:pPr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357"/>
              <w:rPr>
                <w:rFonts w:ascii="Verdana" w:hAnsi="Verdana" w:cs="Arial"/>
                <w:color w:val="000000"/>
              </w:rPr>
            </w:pPr>
            <w:r w:rsidRPr="00BE5093">
              <w:rPr>
                <w:rFonts w:ascii="Verdana" w:hAnsi="Verdana" w:cs="Arial"/>
                <w:color w:val="000000"/>
              </w:rPr>
              <w:t>discuss and evaluate the structure, characterisation and/or setting</w:t>
            </w:r>
            <w:r w:rsidR="00BE5093">
              <w:rPr>
                <w:rFonts w:ascii="Verdana" w:hAnsi="Verdana" w:cs="Arial"/>
                <w:color w:val="000000"/>
              </w:rPr>
              <w:t xml:space="preserve"> using some supporting evidence</w:t>
            </w:r>
          </w:p>
          <w:p w:rsidR="00A44545" w:rsidRPr="00BE5093" w:rsidRDefault="00A44545" w:rsidP="0048579C">
            <w:pPr>
              <w:numPr>
                <w:ilvl w:val="1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357"/>
              <w:rPr>
                <w:rFonts w:ascii="Verdana" w:hAnsi="Verdana" w:cs="Arial"/>
                <w:color w:val="000000"/>
              </w:rPr>
            </w:pPr>
            <w:r w:rsidRPr="00BE5093">
              <w:rPr>
                <w:rFonts w:ascii="Verdana" w:hAnsi="Verdana" w:cs="Arial"/>
                <w:color w:val="000000"/>
              </w:rPr>
              <w:t>identify the main theme</w:t>
            </w:r>
            <w:r w:rsidRPr="00BE5093">
              <w:rPr>
                <w:rFonts w:ascii="MS Gothic" w:eastAsia="MS Gothic" w:hAnsi="MS Gothic" w:cs="MS Gothic"/>
                <w:color w:val="000000"/>
              </w:rPr>
              <w:t> </w:t>
            </w:r>
            <w:r w:rsidRPr="00BE5093">
              <w:rPr>
                <w:rFonts w:ascii="Verdana" w:hAnsi="Verdana" w:cs="Arial"/>
                <w:color w:val="000000"/>
              </w:rPr>
              <w:t>of the text and recognise the relevance this has to</w:t>
            </w:r>
            <w:r w:rsidRPr="00BE5093">
              <w:rPr>
                <w:rFonts w:ascii="MS Gothic" w:eastAsia="MS Gothic" w:hAnsi="MS Gothic" w:cs="MS Gothic"/>
                <w:color w:val="000000"/>
              </w:rPr>
              <w:t> </w:t>
            </w:r>
            <w:r w:rsidRPr="00BE5093">
              <w:rPr>
                <w:rFonts w:ascii="Verdana" w:hAnsi="Verdana" w:cs="Arial"/>
                <w:color w:val="000000"/>
              </w:rPr>
              <w:t xml:space="preserve">my own and others’ experiences </w:t>
            </w:r>
            <w:r w:rsidRPr="00BE5093">
              <w:rPr>
                <w:rFonts w:ascii="MS Gothic" w:eastAsia="MS Gothic" w:hAnsi="MS Gothic" w:cs="MS Gothic"/>
                <w:color w:val="000000"/>
              </w:rPr>
              <w:t> </w:t>
            </w:r>
          </w:p>
          <w:p w:rsidR="00A44545" w:rsidRPr="00AC2795" w:rsidRDefault="00A44545" w:rsidP="00A44545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357"/>
              <w:rPr>
                <w:rFonts w:ascii="Verdana" w:hAnsi="Verdana" w:cs="Arial"/>
                <w:color w:val="000000"/>
              </w:rPr>
            </w:pPr>
            <w:proofErr w:type="gramStart"/>
            <w:r w:rsidRPr="00AC2795">
              <w:rPr>
                <w:rFonts w:ascii="Verdana" w:hAnsi="Verdana" w:cs="Arial"/>
                <w:color w:val="000000"/>
              </w:rPr>
              <w:t>identify</w:t>
            </w:r>
            <w:proofErr w:type="gramEnd"/>
            <w:r w:rsidRPr="00AC2795">
              <w:rPr>
                <w:rFonts w:ascii="Verdana" w:hAnsi="Verdana" w:cs="Arial"/>
                <w:color w:val="000000"/>
              </w:rPr>
              <w:t xml:space="preserve"> and comment on aspects of the writer’s</w:t>
            </w:r>
            <w:r w:rsidRPr="00AC2795">
              <w:rPr>
                <w:rFonts w:ascii="MS Gothic" w:eastAsia="MS Gothic" w:hAnsi="MS Gothic" w:cs="MS Gothic"/>
                <w:color w:val="000000"/>
              </w:rPr>
              <w:t> </w:t>
            </w:r>
            <w:r w:rsidRPr="00AC2795">
              <w:rPr>
                <w:rFonts w:ascii="Verdana" w:hAnsi="Verdana" w:cs="Arial"/>
                <w:color w:val="000000"/>
              </w:rPr>
              <w:t xml:space="preserve">style and other </w:t>
            </w:r>
            <w:r w:rsidR="00BE5093">
              <w:rPr>
                <w:rFonts w:ascii="Verdana" w:hAnsi="Verdana" w:cs="Arial"/>
                <w:color w:val="000000"/>
              </w:rPr>
              <w:t xml:space="preserve">features appropriate to genre </w:t>
            </w:r>
            <w:r w:rsidRPr="00AC2795">
              <w:rPr>
                <w:rFonts w:ascii="Verdana" w:hAnsi="Verdana" w:cs="Arial"/>
                <w:color w:val="000000"/>
              </w:rPr>
              <w:t xml:space="preserve">using some relevant evidence. </w:t>
            </w:r>
            <w:r w:rsidRPr="00AC2795">
              <w:rPr>
                <w:rFonts w:ascii="Verdana" w:hAnsi="Verdana" w:cs="Arial"/>
                <w:b/>
                <w:bCs/>
                <w:color w:val="E3002D"/>
              </w:rPr>
              <w:t>(ENG 3-19a)</w:t>
            </w:r>
          </w:p>
          <w:p w:rsidR="00A44545" w:rsidRPr="00AC2795" w:rsidRDefault="00A44545" w:rsidP="00EA261C">
            <w:pPr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</w:tc>
      </w:tr>
    </w:tbl>
    <w:p w:rsidR="007B65E6" w:rsidRDefault="00BE5093" w:rsidP="00A44545"/>
    <w:sectPr w:rsidR="007B65E6" w:rsidSect="00A4454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545" w:rsidRDefault="00A44545" w:rsidP="00A44545">
      <w:r>
        <w:separator/>
      </w:r>
    </w:p>
  </w:endnote>
  <w:endnote w:type="continuationSeparator" w:id="0">
    <w:p w:rsidR="00A44545" w:rsidRDefault="00A44545" w:rsidP="00A4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Verdana" w:hAnsi="Verdana"/>
      </w:rPr>
      <w:id w:val="1363634226"/>
      <w:docPartObj>
        <w:docPartGallery w:val="Page Numbers (Bottom of Page)"/>
        <w:docPartUnique/>
      </w:docPartObj>
    </w:sdtPr>
    <w:sdtContent>
      <w:p w:rsidR="00A44545" w:rsidRPr="00AC2795" w:rsidRDefault="00A44545" w:rsidP="00A44545">
        <w:pPr>
          <w:pStyle w:val="Footer"/>
          <w:framePr w:wrap="none" w:vAnchor="text" w:hAnchor="margin" w:xAlign="right" w:y="1"/>
          <w:rPr>
            <w:rStyle w:val="PageNumber"/>
            <w:rFonts w:ascii="Verdana" w:hAnsi="Verdana"/>
          </w:rPr>
        </w:pPr>
        <w:r w:rsidRPr="00AC2795">
          <w:rPr>
            <w:rStyle w:val="PageNumber"/>
            <w:rFonts w:ascii="Verdana" w:hAnsi="Verdana"/>
          </w:rPr>
          <w:fldChar w:fldCharType="begin"/>
        </w:r>
        <w:r w:rsidRPr="00AC2795">
          <w:rPr>
            <w:rStyle w:val="PageNumber"/>
            <w:rFonts w:ascii="Verdana" w:hAnsi="Verdana"/>
          </w:rPr>
          <w:instrText xml:space="preserve"> PAGE </w:instrText>
        </w:r>
        <w:r w:rsidRPr="00AC2795">
          <w:rPr>
            <w:rStyle w:val="PageNumber"/>
            <w:rFonts w:ascii="Verdana" w:hAnsi="Verdana"/>
          </w:rPr>
          <w:fldChar w:fldCharType="separate"/>
        </w:r>
        <w:r w:rsidR="00BE5093">
          <w:rPr>
            <w:rStyle w:val="PageNumber"/>
            <w:rFonts w:ascii="Verdana" w:hAnsi="Verdana"/>
            <w:noProof/>
          </w:rPr>
          <w:t>5</w:t>
        </w:r>
        <w:r w:rsidRPr="00AC2795">
          <w:rPr>
            <w:rStyle w:val="PageNumber"/>
            <w:rFonts w:ascii="Verdana" w:hAnsi="Verdana"/>
          </w:rPr>
          <w:fldChar w:fldCharType="end"/>
        </w:r>
      </w:p>
    </w:sdtContent>
  </w:sdt>
  <w:p w:rsidR="00A44545" w:rsidRPr="00AC2795" w:rsidRDefault="00A44545" w:rsidP="00A44545">
    <w:pPr>
      <w:pStyle w:val="Footer"/>
      <w:tabs>
        <w:tab w:val="clear" w:pos="4513"/>
        <w:tab w:val="clear" w:pos="9026"/>
        <w:tab w:val="left" w:pos="3510"/>
        <w:tab w:val="center" w:pos="6979"/>
      </w:tabs>
      <w:ind w:right="360"/>
      <w:rPr>
        <w:rFonts w:ascii="Verdana" w:hAnsi="Verdana"/>
      </w:rPr>
    </w:pPr>
    <w:r w:rsidRPr="00AC2795">
      <w:rPr>
        <w:rFonts w:ascii="Verdana" w:hAnsi="Verdana"/>
        <w:noProof/>
        <w:lang w:eastAsia="en-GB"/>
      </w:rPr>
      <w:drawing>
        <wp:inline distT="0" distB="0" distL="0" distR="0" wp14:anchorId="59CE8725" wp14:editId="632371A1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C2795">
      <w:rPr>
        <w:rFonts w:ascii="Verdana" w:hAnsi="Verdana"/>
      </w:rPr>
      <w:tab/>
    </w:r>
    <w:r w:rsidRPr="00AC2795">
      <w:rPr>
        <w:rFonts w:ascii="Verdana" w:hAnsi="Verdana"/>
      </w:rPr>
      <w:tab/>
      <w:t>www.scholastic.co.uk/PM</w:t>
    </w:r>
  </w:p>
  <w:p w:rsidR="00A44545" w:rsidRDefault="00A44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45" w:rsidRDefault="00A44545" w:rsidP="00A44545">
      <w:r>
        <w:separator/>
      </w:r>
    </w:p>
  </w:footnote>
  <w:footnote w:type="continuationSeparator" w:id="0">
    <w:p w:rsidR="00A44545" w:rsidRDefault="00A44545" w:rsidP="00A4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545" w:rsidRPr="00AC2795" w:rsidRDefault="00A44545" w:rsidP="00A44545">
    <w:pPr>
      <w:pStyle w:val="Header"/>
      <w:jc w:val="center"/>
      <w:rPr>
        <w:rFonts w:ascii="Verdana" w:hAnsi="Verdana" w:cs="Arial"/>
        <w:b/>
        <w:sz w:val="28"/>
        <w:szCs w:val="28"/>
      </w:rPr>
    </w:pPr>
    <w:r>
      <w:tab/>
    </w:r>
    <w:r w:rsidRPr="00AC2795">
      <w:rPr>
        <w:rFonts w:ascii="Verdana" w:hAnsi="Verdana" w:cs="Arial"/>
        <w:b/>
        <w:i/>
        <w:sz w:val="24"/>
        <w:szCs w:val="28"/>
      </w:rPr>
      <w:t xml:space="preserve">PM Readers: </w:t>
    </w:r>
    <w:r w:rsidRPr="00AC2795">
      <w:rPr>
        <w:rFonts w:ascii="Verdana" w:hAnsi="Verdana" w:cs="Arial"/>
        <w:b/>
        <w:sz w:val="24"/>
        <w:szCs w:val="28"/>
      </w:rPr>
      <w:t>Correlation to the Curriculum for Excellence in Scotland</w:t>
    </w:r>
  </w:p>
  <w:p w:rsidR="00A44545" w:rsidRDefault="00A44545" w:rsidP="00A44545">
    <w:pPr>
      <w:pStyle w:val="Header"/>
      <w:tabs>
        <w:tab w:val="clear" w:pos="4513"/>
        <w:tab w:val="clear" w:pos="9026"/>
        <w:tab w:val="left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23FED"/>
    <w:multiLevelType w:val="hybridMultilevel"/>
    <w:tmpl w:val="513E1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05716"/>
    <w:multiLevelType w:val="hybridMultilevel"/>
    <w:tmpl w:val="7828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45"/>
    <w:rsid w:val="00124CAB"/>
    <w:rsid w:val="002205C9"/>
    <w:rsid w:val="007225CA"/>
    <w:rsid w:val="00A44545"/>
    <w:rsid w:val="00BE5093"/>
    <w:rsid w:val="00BF5D8F"/>
    <w:rsid w:val="00E767F0"/>
    <w:rsid w:val="00EF4401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50826-E9E0-4771-AD89-2C0FBFB9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5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545"/>
  </w:style>
  <w:style w:type="paragraph" w:styleId="Footer">
    <w:name w:val="footer"/>
    <w:basedOn w:val="Normal"/>
    <w:link w:val="FooterChar"/>
    <w:uiPriority w:val="99"/>
    <w:unhideWhenUsed/>
    <w:rsid w:val="00A445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545"/>
  </w:style>
  <w:style w:type="character" w:styleId="PageNumber">
    <w:name w:val="page number"/>
    <w:basedOn w:val="DefaultParagraphFont"/>
    <w:uiPriority w:val="99"/>
    <w:semiHidden/>
    <w:unhideWhenUsed/>
    <w:rsid w:val="00A44545"/>
  </w:style>
  <w:style w:type="table" w:styleId="TableGrid">
    <w:name w:val="Table Grid"/>
    <w:basedOn w:val="TableNormal"/>
    <w:uiPriority w:val="39"/>
    <w:rsid w:val="00A44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54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Rachel</dc:creator>
  <cp:keywords/>
  <dc:description/>
  <cp:lastModifiedBy>Morgan, Rachel</cp:lastModifiedBy>
  <cp:revision>3</cp:revision>
  <dcterms:created xsi:type="dcterms:W3CDTF">2018-02-07T13:31:00Z</dcterms:created>
  <dcterms:modified xsi:type="dcterms:W3CDTF">2018-02-07T13:40:00Z</dcterms:modified>
</cp:coreProperties>
</file>